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Cs/>
          <w:sz w:val="20"/>
          <w:highlight w:val="none"/>
        </w:rPr>
      </w:pPr>
      <w:bookmarkStart w:id="0" w:name="_GoBack"/>
      <w:r>
        <w:rPr>
          <w:rFonts w:hint="eastAsia" w:ascii="黑体" w:hAnsi="黑体" w:eastAsia="黑体" w:cs="黑体"/>
          <w:bCs/>
          <w:sz w:val="30"/>
          <w:szCs w:val="30"/>
          <w:highlight w:val="none"/>
          <w:lang w:val="en-US" w:eastAsia="zh-CN"/>
        </w:rPr>
        <w:t>中煤建工集团有限公司</w:t>
      </w:r>
      <w:r>
        <w:rPr>
          <w:rFonts w:hint="eastAsia" w:ascii="黑体" w:hAnsi="黑体" w:eastAsia="黑体" w:cs="黑体"/>
          <w:bCs/>
          <w:sz w:val="30"/>
          <w:szCs w:val="30"/>
          <w:highlight w:val="none"/>
        </w:rPr>
        <w:t>资产评估项目公示表</w:t>
      </w:r>
    </w:p>
    <w:bookmarkEnd w:id="0"/>
    <w:p>
      <w:pPr>
        <w:keepNext w:val="0"/>
        <w:keepLines w:val="0"/>
        <w:widowControl/>
        <w:suppressLineNumbers w:val="0"/>
        <w:ind w:firstLine="400" w:firstLineChars="200"/>
        <w:jc w:val="left"/>
        <w:rPr>
          <w:rFonts w:hint="default" w:ascii="宋体" w:hAnsi="宋体" w:cs="宋体"/>
          <w:bCs/>
          <w:color w:val="auto"/>
          <w:sz w:val="20"/>
          <w:highlight w:val="none"/>
          <w:lang w:val="en-US" w:eastAsia="zh-CN"/>
        </w:rPr>
      </w:pPr>
      <w:r>
        <w:rPr>
          <w:rFonts w:hint="eastAsia" w:ascii="宋体" w:hAnsi="宋体" w:cs="宋体"/>
          <w:bCs/>
          <w:sz w:val="20"/>
          <w:highlight w:val="none"/>
        </w:rPr>
        <w:t>评估项目：</w:t>
      </w:r>
      <w:r>
        <w:rPr>
          <w:rFonts w:hint="eastAsia" w:ascii="宋体" w:hAnsi="宋体" w:cs="宋体"/>
          <w:bCs/>
          <w:sz w:val="20"/>
          <w:highlight w:val="none"/>
          <w:lang w:val="en-US" w:eastAsia="zh-CN"/>
        </w:rPr>
        <w:t>根据句容新河房地产开发有限公司与中煤建工集团有限公司签订的《句容濠锋星钻项目结算协议书》，需要对句容新河房地产开发有限公司关联公司句容星吉瑞企业管理有限公司位于江阴市迎瑞路商铺在评估基准日市场价值进行评估，为中煤建工集团有限公司拟核实商铺的经济行为提供价值参考。</w:t>
      </w:r>
    </w:p>
    <w:p>
      <w:pPr>
        <w:rPr>
          <w:rFonts w:ascii="宋体" w:hAnsi="宋体" w:cs="宋体"/>
          <w:bCs/>
          <w:sz w:val="20"/>
          <w:highlight w:val="none"/>
        </w:rPr>
      </w:pPr>
      <w:r>
        <w:rPr>
          <w:rFonts w:hint="eastAsia" w:ascii="宋体" w:hAnsi="宋体" w:cs="宋体"/>
          <w:bCs/>
          <w:sz w:val="20"/>
          <w:highlight w:val="none"/>
        </w:rPr>
        <w:t>公示期限：202</w:t>
      </w:r>
      <w:r>
        <w:rPr>
          <w:rFonts w:hint="eastAsia" w:ascii="宋体" w:hAnsi="宋体" w:cs="宋体"/>
          <w:bCs/>
          <w:sz w:val="20"/>
          <w:highlight w:val="none"/>
          <w:lang w:val="en-US" w:eastAsia="zh-CN"/>
        </w:rPr>
        <w:t>2</w:t>
      </w:r>
      <w:r>
        <w:rPr>
          <w:rFonts w:hint="eastAsia" w:ascii="宋体" w:hAnsi="宋体" w:cs="宋体"/>
          <w:bCs/>
          <w:sz w:val="20"/>
          <w:highlight w:val="none"/>
        </w:rPr>
        <w:t>年</w:t>
      </w:r>
      <w:r>
        <w:rPr>
          <w:rFonts w:hint="eastAsia" w:ascii="宋体" w:hAnsi="宋体" w:cs="宋体"/>
          <w:bCs/>
          <w:sz w:val="20"/>
          <w:highlight w:val="none"/>
          <w:lang w:val="en-US" w:eastAsia="zh-CN"/>
        </w:rPr>
        <w:t>9</w:t>
      </w:r>
      <w:r>
        <w:rPr>
          <w:rFonts w:hint="eastAsia" w:ascii="宋体" w:hAnsi="宋体" w:cs="宋体"/>
          <w:bCs/>
          <w:sz w:val="20"/>
          <w:highlight w:val="none"/>
        </w:rPr>
        <w:t>月</w:t>
      </w:r>
      <w:r>
        <w:rPr>
          <w:rFonts w:hint="eastAsia" w:ascii="宋体" w:hAnsi="宋体" w:cs="宋体"/>
          <w:bCs/>
          <w:sz w:val="20"/>
          <w:highlight w:val="none"/>
          <w:lang w:val="en-US" w:eastAsia="zh-CN"/>
        </w:rPr>
        <w:t>14</w:t>
      </w:r>
      <w:r>
        <w:rPr>
          <w:rFonts w:hint="eastAsia" w:ascii="宋体" w:hAnsi="宋体" w:cs="宋体"/>
          <w:bCs/>
          <w:sz w:val="20"/>
          <w:highlight w:val="none"/>
        </w:rPr>
        <w:t>日至202</w:t>
      </w:r>
      <w:r>
        <w:rPr>
          <w:rFonts w:hint="eastAsia" w:ascii="宋体" w:hAnsi="宋体" w:cs="宋体"/>
          <w:bCs/>
          <w:sz w:val="20"/>
          <w:highlight w:val="none"/>
          <w:lang w:val="en-US" w:eastAsia="zh-CN"/>
        </w:rPr>
        <w:t>2</w:t>
      </w:r>
      <w:r>
        <w:rPr>
          <w:rFonts w:hint="eastAsia" w:ascii="宋体" w:hAnsi="宋体" w:cs="宋体"/>
          <w:bCs/>
          <w:sz w:val="20"/>
          <w:highlight w:val="none"/>
        </w:rPr>
        <w:t>年</w:t>
      </w:r>
      <w:r>
        <w:rPr>
          <w:rFonts w:hint="eastAsia" w:ascii="宋体" w:hAnsi="宋体" w:cs="宋体"/>
          <w:bCs/>
          <w:sz w:val="20"/>
          <w:highlight w:val="none"/>
          <w:lang w:val="en-US" w:eastAsia="zh-CN"/>
        </w:rPr>
        <w:t>9</w:t>
      </w:r>
      <w:r>
        <w:rPr>
          <w:rFonts w:hint="eastAsia" w:ascii="宋体" w:hAnsi="宋体" w:cs="宋体"/>
          <w:bCs/>
          <w:sz w:val="20"/>
          <w:highlight w:val="none"/>
        </w:rPr>
        <w:t>月</w:t>
      </w:r>
      <w:r>
        <w:rPr>
          <w:rFonts w:hint="eastAsia" w:ascii="宋体" w:hAnsi="宋体" w:cs="宋体"/>
          <w:bCs/>
          <w:sz w:val="20"/>
          <w:highlight w:val="none"/>
          <w:lang w:val="en-US" w:eastAsia="zh-CN"/>
        </w:rPr>
        <w:t>20</w:t>
      </w:r>
      <w:r>
        <w:rPr>
          <w:rFonts w:hint="eastAsia" w:ascii="宋体" w:hAnsi="宋体" w:cs="宋体"/>
          <w:bCs/>
          <w:sz w:val="20"/>
          <w:highlight w:val="none"/>
        </w:rPr>
        <w:t>日</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635"/>
        <w:gridCol w:w="1575"/>
        <w:gridCol w:w="1440"/>
        <w:gridCol w:w="1590"/>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04" w:type="dxa"/>
            <w:noWrap w:val="0"/>
            <w:vAlign w:val="center"/>
          </w:tcPr>
          <w:p>
            <w:pPr>
              <w:jc w:val="center"/>
              <w:rPr>
                <w:rFonts w:ascii="宋体" w:hAnsi="宋体" w:cs="宋体"/>
                <w:bCs/>
                <w:color w:val="auto"/>
                <w:sz w:val="20"/>
                <w:highlight w:val="none"/>
              </w:rPr>
            </w:pPr>
            <w:r>
              <w:rPr>
                <w:rFonts w:hint="eastAsia" w:ascii="宋体" w:hAnsi="宋体" w:cs="宋体"/>
                <w:bCs/>
                <w:color w:val="auto"/>
                <w:sz w:val="20"/>
                <w:highlight w:val="none"/>
              </w:rPr>
              <w:t>序号</w:t>
            </w:r>
          </w:p>
        </w:tc>
        <w:tc>
          <w:tcPr>
            <w:tcW w:w="1635" w:type="dxa"/>
            <w:noWrap w:val="0"/>
            <w:vAlign w:val="center"/>
          </w:tcPr>
          <w:p>
            <w:pPr>
              <w:jc w:val="center"/>
              <w:rPr>
                <w:rFonts w:ascii="宋体" w:hAnsi="宋体" w:cs="宋体"/>
                <w:bCs/>
                <w:color w:val="auto"/>
                <w:sz w:val="20"/>
                <w:highlight w:val="none"/>
              </w:rPr>
            </w:pPr>
            <w:r>
              <w:rPr>
                <w:rFonts w:hint="eastAsia" w:ascii="宋体" w:hAnsi="宋体" w:cs="宋体"/>
                <w:bCs/>
                <w:color w:val="auto"/>
                <w:sz w:val="20"/>
                <w:highlight w:val="none"/>
              </w:rPr>
              <w:t>公示项目</w:t>
            </w:r>
          </w:p>
        </w:tc>
        <w:tc>
          <w:tcPr>
            <w:tcW w:w="6381" w:type="dxa"/>
            <w:gridSpan w:val="4"/>
            <w:noWrap w:val="0"/>
            <w:vAlign w:val="center"/>
          </w:tcPr>
          <w:p>
            <w:pPr>
              <w:jc w:val="center"/>
              <w:rPr>
                <w:rFonts w:ascii="宋体" w:hAnsi="宋体" w:cs="宋体"/>
                <w:bCs/>
                <w:color w:val="auto"/>
                <w:sz w:val="20"/>
                <w:highlight w:val="none"/>
              </w:rPr>
            </w:pPr>
            <w:r>
              <w:rPr>
                <w:rFonts w:hint="eastAsia" w:ascii="宋体" w:hAnsi="宋体" w:cs="宋体"/>
                <w:bCs/>
                <w:color w:val="auto"/>
                <w:sz w:val="20"/>
                <w:highlight w:val="none"/>
              </w:rPr>
              <w:t>公示内容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04" w:type="dxa"/>
            <w:noWrap w:val="0"/>
            <w:vAlign w:val="center"/>
          </w:tcPr>
          <w:p>
            <w:pPr>
              <w:jc w:val="center"/>
              <w:rPr>
                <w:rFonts w:ascii="宋体" w:hAnsi="宋体" w:cs="宋体"/>
                <w:bCs/>
                <w:color w:val="auto"/>
                <w:sz w:val="20"/>
                <w:highlight w:val="none"/>
              </w:rPr>
            </w:pPr>
            <w:r>
              <w:rPr>
                <w:rFonts w:hint="eastAsia" w:ascii="宋体" w:hAnsi="宋体" w:cs="宋体"/>
                <w:bCs/>
                <w:color w:val="auto"/>
                <w:sz w:val="20"/>
                <w:highlight w:val="none"/>
              </w:rPr>
              <w:t>1</w:t>
            </w:r>
          </w:p>
        </w:tc>
        <w:tc>
          <w:tcPr>
            <w:tcW w:w="1635" w:type="dxa"/>
            <w:noWrap w:val="0"/>
            <w:vAlign w:val="center"/>
          </w:tcPr>
          <w:p>
            <w:pPr>
              <w:jc w:val="center"/>
              <w:rPr>
                <w:rFonts w:ascii="宋体" w:hAnsi="宋体" w:cs="宋体"/>
                <w:bCs/>
                <w:color w:val="auto"/>
                <w:sz w:val="20"/>
                <w:highlight w:val="none"/>
              </w:rPr>
            </w:pPr>
            <w:r>
              <w:rPr>
                <w:rFonts w:hint="eastAsia" w:ascii="宋体" w:hAnsi="宋体" w:cs="宋体"/>
                <w:bCs/>
                <w:color w:val="auto"/>
                <w:sz w:val="20"/>
                <w:highlight w:val="none"/>
              </w:rPr>
              <w:t>经济行为批准</w:t>
            </w:r>
          </w:p>
          <w:p>
            <w:pPr>
              <w:jc w:val="center"/>
              <w:rPr>
                <w:rFonts w:ascii="宋体" w:hAnsi="宋体" w:cs="宋体"/>
                <w:bCs/>
                <w:color w:val="auto"/>
                <w:sz w:val="20"/>
                <w:highlight w:val="none"/>
              </w:rPr>
            </w:pPr>
            <w:r>
              <w:rPr>
                <w:rFonts w:hint="eastAsia" w:ascii="宋体" w:hAnsi="宋体" w:cs="宋体"/>
                <w:bCs/>
                <w:color w:val="auto"/>
                <w:sz w:val="20"/>
                <w:highlight w:val="none"/>
              </w:rPr>
              <w:t>文件</w:t>
            </w:r>
          </w:p>
        </w:tc>
        <w:tc>
          <w:tcPr>
            <w:tcW w:w="6381" w:type="dxa"/>
            <w:gridSpan w:val="4"/>
            <w:noWrap w:val="0"/>
            <w:vAlign w:val="center"/>
          </w:tcPr>
          <w:p>
            <w:pPr>
              <w:rPr>
                <w:rFonts w:ascii="宋体" w:hAnsi="宋体" w:cs="宋体"/>
                <w:bCs/>
                <w:color w:val="auto"/>
                <w:sz w:val="20"/>
                <w:highlight w:val="none"/>
              </w:rPr>
            </w:pPr>
            <w:r>
              <w:rPr>
                <w:rFonts w:hint="eastAsia" w:ascii="宋体" w:hAnsi="宋体" w:cs="宋体"/>
                <w:bCs/>
                <w:color w:val="auto"/>
                <w:sz w:val="20"/>
                <w:highlight w:val="none"/>
              </w:rPr>
              <w:t>《</w:t>
            </w:r>
            <w:r>
              <w:rPr>
                <w:rFonts w:hint="eastAsia" w:ascii="宋体" w:hAnsi="宋体" w:cs="宋体"/>
                <w:bCs/>
                <w:color w:val="auto"/>
                <w:sz w:val="20"/>
                <w:highlight w:val="none"/>
                <w:lang w:eastAsia="zh-CN"/>
              </w:rPr>
              <w:t>中国煤炭地质总局关于中煤建工集团有限公司受让句容星吉瑞企业管理有限公司相关房产事项立项的批复</w:t>
            </w:r>
            <w:r>
              <w:rPr>
                <w:rFonts w:hint="eastAsia" w:ascii="宋体" w:hAnsi="宋体" w:cs="宋体"/>
                <w:bCs/>
                <w:color w:val="auto"/>
                <w:sz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504" w:type="dxa"/>
            <w:noWrap w:val="0"/>
            <w:vAlign w:val="center"/>
          </w:tcPr>
          <w:p>
            <w:pPr>
              <w:jc w:val="center"/>
              <w:rPr>
                <w:rFonts w:ascii="宋体" w:hAnsi="宋体" w:cs="宋体"/>
                <w:bCs/>
                <w:color w:val="auto"/>
                <w:sz w:val="20"/>
                <w:highlight w:val="none"/>
              </w:rPr>
            </w:pPr>
            <w:r>
              <w:rPr>
                <w:rFonts w:hint="eastAsia" w:ascii="宋体" w:hAnsi="宋体" w:cs="宋体"/>
                <w:bCs/>
                <w:color w:val="auto"/>
                <w:sz w:val="20"/>
                <w:highlight w:val="none"/>
              </w:rPr>
              <w:t>2</w:t>
            </w:r>
          </w:p>
        </w:tc>
        <w:tc>
          <w:tcPr>
            <w:tcW w:w="1635" w:type="dxa"/>
            <w:noWrap w:val="0"/>
            <w:vAlign w:val="center"/>
          </w:tcPr>
          <w:p>
            <w:pPr>
              <w:jc w:val="center"/>
              <w:rPr>
                <w:rFonts w:ascii="宋体" w:hAnsi="宋体" w:cs="宋体"/>
                <w:bCs/>
                <w:color w:val="auto"/>
                <w:sz w:val="20"/>
                <w:highlight w:val="none"/>
              </w:rPr>
            </w:pPr>
            <w:r>
              <w:rPr>
                <w:rFonts w:hint="eastAsia" w:ascii="宋体" w:hAnsi="宋体" w:cs="宋体"/>
                <w:bCs/>
                <w:color w:val="auto"/>
                <w:sz w:val="20"/>
                <w:highlight w:val="none"/>
              </w:rPr>
              <w:t>评估机构选聘</w:t>
            </w:r>
          </w:p>
          <w:p>
            <w:pPr>
              <w:jc w:val="center"/>
              <w:rPr>
                <w:rFonts w:ascii="宋体" w:hAnsi="宋体" w:cs="宋体"/>
                <w:bCs/>
                <w:color w:val="auto"/>
                <w:sz w:val="20"/>
                <w:highlight w:val="none"/>
              </w:rPr>
            </w:pPr>
            <w:r>
              <w:rPr>
                <w:rFonts w:hint="eastAsia" w:ascii="宋体" w:hAnsi="宋体" w:cs="宋体"/>
                <w:bCs/>
                <w:color w:val="auto"/>
                <w:sz w:val="20"/>
                <w:highlight w:val="none"/>
              </w:rPr>
              <w:t>方式</w:t>
            </w:r>
          </w:p>
        </w:tc>
        <w:tc>
          <w:tcPr>
            <w:tcW w:w="6381" w:type="dxa"/>
            <w:gridSpan w:val="4"/>
            <w:noWrap w:val="0"/>
            <w:vAlign w:val="center"/>
          </w:tcPr>
          <w:p>
            <w:pPr>
              <w:rPr>
                <w:rFonts w:ascii="宋体" w:hAnsi="宋体" w:cs="宋体"/>
                <w:bCs/>
                <w:color w:val="auto"/>
                <w:sz w:val="20"/>
                <w:highlight w:val="none"/>
              </w:rPr>
            </w:pPr>
            <w:r>
              <w:rPr>
                <w:rFonts w:hint="eastAsia" w:ascii="宋体" w:hAnsi="宋体" w:cs="宋体"/>
                <w:bCs/>
                <w:color w:val="auto"/>
                <w:sz w:val="20"/>
                <w:highlight w:val="none"/>
                <w:lang w:eastAsia="zh-CN"/>
              </w:rPr>
              <w:t>集团</w:t>
            </w:r>
            <w:r>
              <w:rPr>
                <w:rFonts w:hint="eastAsia" w:ascii="宋体" w:hAnsi="宋体" w:cs="宋体"/>
                <w:bCs/>
                <w:color w:val="auto"/>
                <w:sz w:val="20"/>
                <w:highlight w:val="none"/>
              </w:rPr>
              <w:t>资产财务部拟定比选通知并发放给总局评估机构备选库中具有资产评估资质的评估机构，并组织相关部门召开评估机构比选会议，对评估机构报送的评估方案进行审查，比选出符合要求的评估机构。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504" w:type="dxa"/>
            <w:noWrap w:val="0"/>
            <w:vAlign w:val="center"/>
          </w:tcPr>
          <w:p>
            <w:pPr>
              <w:jc w:val="center"/>
              <w:rPr>
                <w:rFonts w:ascii="宋体" w:hAnsi="宋体" w:cs="宋体"/>
                <w:bCs/>
                <w:color w:val="auto"/>
                <w:sz w:val="20"/>
              </w:rPr>
            </w:pPr>
            <w:r>
              <w:rPr>
                <w:rFonts w:hint="eastAsia" w:ascii="宋体" w:hAnsi="宋体" w:cs="宋体"/>
                <w:bCs/>
                <w:color w:val="auto"/>
                <w:sz w:val="20"/>
              </w:rPr>
              <w:t>3</w:t>
            </w:r>
          </w:p>
        </w:tc>
        <w:tc>
          <w:tcPr>
            <w:tcW w:w="1635" w:type="dxa"/>
            <w:noWrap w:val="0"/>
            <w:vAlign w:val="center"/>
          </w:tcPr>
          <w:p>
            <w:pPr>
              <w:jc w:val="center"/>
              <w:rPr>
                <w:rFonts w:ascii="宋体" w:hAnsi="宋体" w:cs="宋体"/>
                <w:bCs/>
                <w:color w:val="auto"/>
                <w:sz w:val="20"/>
              </w:rPr>
            </w:pPr>
            <w:r>
              <w:rPr>
                <w:rFonts w:hint="eastAsia" w:ascii="宋体" w:hAnsi="宋体" w:cs="宋体"/>
                <w:bCs/>
                <w:color w:val="auto"/>
                <w:sz w:val="20"/>
              </w:rPr>
              <w:t>评估机构及评估师资质</w:t>
            </w:r>
          </w:p>
        </w:tc>
        <w:tc>
          <w:tcPr>
            <w:tcW w:w="6381" w:type="dxa"/>
            <w:gridSpan w:val="4"/>
            <w:noWrap w:val="0"/>
            <w:vAlign w:val="center"/>
          </w:tcPr>
          <w:p>
            <w:pPr>
              <w:rPr>
                <w:rFonts w:hint="default" w:ascii="宋体" w:hAnsi="宋体" w:eastAsia="宋体" w:cs="宋体"/>
                <w:bCs/>
                <w:color w:val="auto"/>
                <w:sz w:val="20"/>
                <w:lang w:val="en-US" w:eastAsia="zh-CN"/>
              </w:rPr>
            </w:pPr>
            <w:r>
              <w:rPr>
                <w:rFonts w:hint="eastAsia" w:ascii="宋体" w:hAnsi="宋体" w:cs="宋体"/>
                <w:bCs/>
                <w:color w:val="auto"/>
                <w:sz w:val="20"/>
              </w:rPr>
              <w:t>北京北方亚事资产评估事务所（特殊普通合伙）</w:t>
            </w:r>
            <w:r>
              <w:rPr>
                <w:rFonts w:hint="eastAsia" w:ascii="宋体" w:hAnsi="宋体" w:cs="宋体"/>
                <w:bCs/>
                <w:color w:val="auto"/>
                <w:sz w:val="20"/>
                <w:lang w:val="en-US" w:eastAsia="zh-CN"/>
              </w:rPr>
              <w:t xml:space="preserve">                    宋利强（注册号：41140014）、张华志（注册号：11140004）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504" w:type="dxa"/>
            <w:noWrap w:val="0"/>
            <w:vAlign w:val="center"/>
          </w:tcPr>
          <w:p>
            <w:pPr>
              <w:jc w:val="center"/>
              <w:rPr>
                <w:rFonts w:ascii="宋体" w:hAnsi="宋体" w:cs="宋体"/>
                <w:bCs/>
                <w:color w:val="auto"/>
                <w:sz w:val="20"/>
              </w:rPr>
            </w:pPr>
            <w:r>
              <w:rPr>
                <w:rFonts w:hint="eastAsia" w:ascii="宋体" w:hAnsi="宋体" w:cs="宋体"/>
                <w:bCs/>
                <w:color w:val="auto"/>
                <w:sz w:val="20"/>
              </w:rPr>
              <w:t>4</w:t>
            </w:r>
          </w:p>
        </w:tc>
        <w:tc>
          <w:tcPr>
            <w:tcW w:w="1635" w:type="dxa"/>
            <w:noWrap w:val="0"/>
            <w:vAlign w:val="center"/>
          </w:tcPr>
          <w:p>
            <w:pPr>
              <w:jc w:val="center"/>
              <w:rPr>
                <w:rFonts w:ascii="宋体" w:hAnsi="宋体" w:cs="宋体"/>
                <w:bCs/>
                <w:color w:val="auto"/>
                <w:sz w:val="20"/>
              </w:rPr>
            </w:pPr>
            <w:r>
              <w:rPr>
                <w:rFonts w:hint="eastAsia" w:ascii="宋体" w:hAnsi="宋体" w:cs="宋体"/>
                <w:bCs/>
                <w:color w:val="auto"/>
                <w:sz w:val="20"/>
              </w:rPr>
              <w:t>评估程序履行及独立第三方评估机构审核情况</w:t>
            </w:r>
          </w:p>
        </w:tc>
        <w:tc>
          <w:tcPr>
            <w:tcW w:w="6381" w:type="dxa"/>
            <w:gridSpan w:val="4"/>
            <w:noWrap w:val="0"/>
            <w:vAlign w:val="center"/>
          </w:tcPr>
          <w:p>
            <w:pPr>
              <w:jc w:val="left"/>
              <w:rPr>
                <w:rFonts w:hint="eastAsia" w:ascii="宋体" w:hAnsi="宋体" w:cs="宋体"/>
                <w:bCs/>
                <w:color w:val="auto"/>
                <w:sz w:val="20"/>
              </w:rPr>
            </w:pPr>
            <w:r>
              <w:rPr>
                <w:rFonts w:hint="eastAsia" w:ascii="宋体" w:hAnsi="宋体" w:cs="宋体"/>
                <w:bCs/>
                <w:color w:val="auto"/>
                <w:sz w:val="20"/>
                <w:szCs w:val="22"/>
              </w:rPr>
              <w:t>中煤建工集团有限公司</w:t>
            </w:r>
            <w:r>
              <w:rPr>
                <w:rFonts w:hint="eastAsia" w:ascii="宋体" w:hAnsi="宋体" w:cs="宋体"/>
                <w:bCs/>
                <w:color w:val="auto"/>
                <w:sz w:val="20"/>
                <w:szCs w:val="22"/>
                <w:lang w:val="en-US" w:eastAsia="zh-CN"/>
              </w:rPr>
              <w:t>选聘北京北方亚事资产评估事务所（特殊普通合伙）对</w:t>
            </w:r>
            <w:r>
              <w:rPr>
                <w:rFonts w:hint="eastAsia" w:ascii="宋体" w:hAnsi="宋体" w:cs="宋体"/>
                <w:bCs/>
                <w:sz w:val="20"/>
                <w:lang w:val="en-US" w:eastAsia="zh-CN"/>
              </w:rPr>
              <w:t>句容新河房地产开发有限公司关联公司句容星吉瑞企业管理有限公司位于江阴市迎瑞路商铺</w:t>
            </w:r>
            <w:r>
              <w:rPr>
                <w:rFonts w:hint="eastAsia" w:ascii="宋体" w:hAnsi="宋体" w:cs="宋体"/>
                <w:bCs/>
                <w:color w:val="auto"/>
                <w:sz w:val="20"/>
                <w:lang w:val="en-US" w:eastAsia="zh-CN"/>
              </w:rPr>
              <w:t>价值</w:t>
            </w:r>
            <w:r>
              <w:rPr>
                <w:rFonts w:hint="eastAsia" w:ascii="宋体" w:hAnsi="宋体" w:cs="宋体"/>
                <w:bCs/>
                <w:color w:val="auto"/>
                <w:sz w:val="20"/>
                <w:szCs w:val="22"/>
              </w:rPr>
              <w:t>开展评估</w:t>
            </w:r>
            <w:r>
              <w:rPr>
                <w:rFonts w:hint="eastAsia" w:ascii="宋体" w:hAnsi="宋体" w:cs="宋体"/>
                <w:bCs/>
                <w:color w:val="auto"/>
                <w:sz w:val="20"/>
              </w:rPr>
              <w:t>工作，</w:t>
            </w:r>
            <w:r>
              <w:rPr>
                <w:rFonts w:hint="eastAsia" w:ascii="宋体" w:hAnsi="宋体" w:cs="宋体"/>
                <w:bCs/>
                <w:color w:val="auto"/>
                <w:sz w:val="20"/>
                <w:lang w:eastAsia="zh-CN"/>
              </w:rPr>
              <w:t>总局</w:t>
            </w:r>
            <w:r>
              <w:rPr>
                <w:rFonts w:hint="eastAsia" w:ascii="宋体" w:hAnsi="宋体" w:cs="宋体"/>
                <w:bCs/>
                <w:color w:val="auto"/>
                <w:sz w:val="20"/>
              </w:rPr>
              <w:t>委托</w:t>
            </w:r>
            <w:r>
              <w:rPr>
                <w:rFonts w:hint="eastAsia" w:ascii="宋体" w:hAnsi="宋体" w:cs="宋体"/>
                <w:bCs/>
                <w:color w:val="auto"/>
                <w:sz w:val="20"/>
                <w:lang w:eastAsia="zh-CN"/>
              </w:rPr>
              <w:t>第三方机构</w:t>
            </w:r>
            <w:r>
              <w:rPr>
                <w:rFonts w:hint="eastAsia" w:ascii="宋体" w:hAnsi="宋体" w:cs="宋体"/>
                <w:bCs/>
                <w:color w:val="auto"/>
                <w:sz w:val="20"/>
              </w:rPr>
              <w:t>对评估报告初稿进行了审核并出具了审核意见，评估公司针对审核意见进行了修订完善。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9" w:hRule="atLeast"/>
        </w:trPr>
        <w:tc>
          <w:tcPr>
            <w:tcW w:w="504" w:type="dxa"/>
            <w:noWrap w:val="0"/>
            <w:vAlign w:val="center"/>
          </w:tcPr>
          <w:p>
            <w:pPr>
              <w:jc w:val="center"/>
              <w:rPr>
                <w:rFonts w:ascii="宋体" w:hAnsi="宋体" w:cs="宋体"/>
                <w:bCs/>
                <w:color w:val="auto"/>
                <w:sz w:val="20"/>
              </w:rPr>
            </w:pPr>
            <w:r>
              <w:rPr>
                <w:rFonts w:hint="eastAsia" w:ascii="宋体" w:hAnsi="宋体" w:cs="宋体"/>
                <w:bCs/>
                <w:color w:val="auto"/>
                <w:sz w:val="20"/>
              </w:rPr>
              <w:t>5</w:t>
            </w:r>
          </w:p>
        </w:tc>
        <w:tc>
          <w:tcPr>
            <w:tcW w:w="1635" w:type="dxa"/>
            <w:noWrap w:val="0"/>
            <w:vAlign w:val="center"/>
          </w:tcPr>
          <w:p>
            <w:pPr>
              <w:jc w:val="center"/>
              <w:rPr>
                <w:rFonts w:ascii="宋体" w:hAnsi="宋体" w:cs="宋体"/>
                <w:bCs/>
                <w:color w:val="auto"/>
                <w:sz w:val="20"/>
              </w:rPr>
            </w:pPr>
            <w:r>
              <w:rPr>
                <w:rFonts w:hint="eastAsia" w:ascii="宋体" w:hAnsi="宋体" w:cs="宋体"/>
                <w:bCs/>
                <w:color w:val="auto"/>
                <w:sz w:val="20"/>
              </w:rPr>
              <w:t>评估报告摘要和特别事项说明</w:t>
            </w:r>
          </w:p>
        </w:tc>
        <w:tc>
          <w:tcPr>
            <w:tcW w:w="6381" w:type="dxa"/>
            <w:gridSpan w:val="4"/>
            <w:noWrap w:val="0"/>
            <w:vAlign w:val="center"/>
          </w:tcPr>
          <w:p>
            <w:pPr>
              <w:keepNext w:val="0"/>
              <w:keepLines w:val="0"/>
              <w:widowControl/>
              <w:suppressLineNumbers w:val="0"/>
              <w:jc w:val="left"/>
              <w:rPr>
                <w:rFonts w:hint="eastAsia" w:ascii="宋体" w:hAnsi="宋体" w:cs="宋体"/>
                <w:bCs/>
                <w:sz w:val="20"/>
                <w:lang w:val="en-US" w:eastAsia="zh-CN"/>
              </w:rPr>
            </w:pPr>
            <w:r>
              <w:rPr>
                <w:rFonts w:hint="eastAsia" w:ascii="宋体" w:hAnsi="宋体" w:cs="宋体"/>
                <w:bCs/>
                <w:color w:val="auto"/>
                <w:sz w:val="20"/>
                <w:szCs w:val="22"/>
                <w:lang w:val="en-US" w:eastAsia="zh-CN"/>
              </w:rPr>
              <w:t>北京北方亚事资产评估事务所（特殊普通合伙）</w:t>
            </w:r>
            <w:r>
              <w:rPr>
                <w:rFonts w:hint="eastAsia" w:ascii="宋体" w:hAnsi="宋体" w:cs="宋体"/>
                <w:bCs/>
                <w:color w:val="auto"/>
                <w:sz w:val="20"/>
              </w:rPr>
              <w:t>接受</w:t>
            </w:r>
            <w:r>
              <w:rPr>
                <w:rFonts w:hint="eastAsia" w:ascii="宋体" w:hAnsi="宋体" w:cs="宋体"/>
                <w:bCs/>
                <w:color w:val="auto"/>
                <w:sz w:val="20"/>
                <w:szCs w:val="22"/>
              </w:rPr>
              <w:t>中煤建工集团有限公司</w:t>
            </w:r>
            <w:r>
              <w:rPr>
                <w:rFonts w:hint="eastAsia" w:ascii="宋体" w:hAnsi="宋体" w:cs="宋体"/>
                <w:bCs/>
                <w:color w:val="auto"/>
                <w:sz w:val="20"/>
              </w:rPr>
              <w:t>的委托，</w:t>
            </w:r>
            <w:r>
              <w:rPr>
                <w:rFonts w:hint="eastAsia" w:ascii="宋体" w:hAnsi="宋体" w:cs="宋体"/>
                <w:bCs/>
                <w:sz w:val="20"/>
                <w:lang w:val="en-US" w:eastAsia="zh-CN"/>
              </w:rPr>
              <w:t>对句容新河房地产开发有限公司关联公司句容星吉瑞企业管理有限公司位于江阴市迎瑞路商铺</w:t>
            </w:r>
            <w:r>
              <w:rPr>
                <w:rFonts w:hint="eastAsia" w:ascii="宋体" w:hAnsi="宋体" w:cs="宋体"/>
                <w:bCs/>
                <w:color w:val="auto"/>
                <w:sz w:val="20"/>
                <w:szCs w:val="22"/>
                <w:lang w:val="en-US" w:eastAsia="zh-CN"/>
              </w:rPr>
              <w:t>在2022年6月30日市场价值进行了评估。评估对象是句容新河房地产开发有限公司关联公司句容星吉瑞企业管理有限公司位于江阴市迎瑞路2#、4#、6#、8#、32#、34#、36#、38#、44#、46#、48#商铺房屋的市场价值，</w:t>
            </w:r>
            <w:r>
              <w:rPr>
                <w:rFonts w:hint="eastAsia" w:ascii="宋体" w:hAnsi="宋体" w:cs="宋体"/>
                <w:bCs/>
                <w:sz w:val="20"/>
                <w:lang w:val="en-US" w:eastAsia="zh-CN"/>
              </w:rPr>
              <w:t>评估范围是句容新河房地产开发有限公司关联公司句容星吉瑞企业管理有限公司位于江阴市迎瑞路 2#、4#、6#、8#、32#、34#、36#、38#、44#、46#、48#商铺。</w:t>
            </w:r>
          </w:p>
          <w:p>
            <w:pPr>
              <w:keepNext w:val="0"/>
              <w:keepLines w:val="0"/>
              <w:widowControl/>
              <w:suppressLineNumbers w:val="0"/>
              <w:jc w:val="left"/>
              <w:rPr>
                <w:rFonts w:hint="default" w:ascii="宋体" w:hAnsi="宋体" w:eastAsia="宋体" w:cs="宋体"/>
                <w:bCs/>
                <w:color w:val="auto"/>
                <w:sz w:val="20"/>
                <w:lang w:val="en-US" w:eastAsia="zh-CN"/>
              </w:rPr>
            </w:pPr>
            <w:r>
              <w:rPr>
                <w:rFonts w:hint="eastAsia" w:ascii="宋体" w:hAnsi="宋体" w:cs="宋体"/>
                <w:bCs/>
                <w:color w:val="auto"/>
                <w:sz w:val="20"/>
                <w:szCs w:val="22"/>
                <w:lang w:val="en-US" w:eastAsia="zh-CN"/>
              </w:rPr>
              <w:t>根据评估目的、评估对象、价值类型、资料收集情况等相关条件，商铺评估选用的评估方法为市场法。评估过程包括接受委托、评估准备、现场清查核实、评定估算、评估汇总及提交报告等</w:t>
            </w:r>
            <w:r>
              <w:rPr>
                <w:rFonts w:hint="eastAsia" w:ascii="宋体" w:hAnsi="宋体" w:cs="宋体"/>
                <w:bCs/>
                <w:color w:val="auto"/>
                <w:sz w:val="20"/>
              </w:rPr>
              <w:t>。</w:t>
            </w:r>
            <w:r>
              <w:rPr>
                <w:rFonts w:hint="eastAsia" w:ascii="宋体" w:hAnsi="宋体" w:cs="宋体"/>
                <w:bCs/>
                <w:color w:val="auto"/>
                <w:sz w:val="20"/>
                <w:szCs w:val="22"/>
                <w:lang w:val="en-US" w:eastAsia="zh-CN"/>
              </w:rPr>
              <w:t>北京北方亚事资产评估事务所（特殊普通合伙）根据有关法律、法规，遵循独立、客观、公正的原则，采用市场法进行评估，按照必要的评估程序，对句容星吉瑞企业管理有限公司江阴市迎瑞路商铺在2022年6月30日的市场价值进行了评估。根据以上评估工作，得出句容星吉瑞企业管理有限公司11项商铺（面积合计 1875.45 ㎡）评估价值 4,143.71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504" w:type="dxa"/>
            <w:vMerge w:val="restart"/>
            <w:noWrap w:val="0"/>
            <w:vAlign w:val="center"/>
          </w:tcPr>
          <w:p>
            <w:pPr>
              <w:jc w:val="center"/>
              <w:rPr>
                <w:rFonts w:ascii="宋体" w:hAnsi="宋体" w:cs="宋体"/>
                <w:bCs/>
                <w:color w:val="auto"/>
                <w:sz w:val="20"/>
              </w:rPr>
            </w:pPr>
            <w:r>
              <w:rPr>
                <w:rFonts w:hint="eastAsia" w:ascii="宋体" w:hAnsi="宋体" w:cs="宋体"/>
                <w:bCs/>
                <w:color w:val="auto"/>
                <w:sz w:val="20"/>
              </w:rPr>
              <w:t>6</w:t>
            </w:r>
          </w:p>
        </w:tc>
        <w:tc>
          <w:tcPr>
            <w:tcW w:w="1635" w:type="dxa"/>
            <w:vMerge w:val="restart"/>
            <w:noWrap w:val="0"/>
            <w:vAlign w:val="center"/>
          </w:tcPr>
          <w:p>
            <w:pPr>
              <w:jc w:val="center"/>
              <w:rPr>
                <w:rFonts w:ascii="宋体" w:hAnsi="宋体" w:cs="宋体"/>
                <w:bCs/>
                <w:color w:val="auto"/>
                <w:sz w:val="20"/>
              </w:rPr>
            </w:pPr>
            <w:r>
              <w:rPr>
                <w:rFonts w:hint="eastAsia" w:ascii="宋体" w:hAnsi="宋体" w:cs="宋体"/>
                <w:bCs/>
                <w:color w:val="auto"/>
                <w:sz w:val="20"/>
              </w:rPr>
              <w:t>评估结果汇总表</w:t>
            </w:r>
          </w:p>
          <w:p>
            <w:pPr>
              <w:jc w:val="center"/>
              <w:rPr>
                <w:rFonts w:ascii="宋体" w:hAnsi="宋体" w:cs="宋体"/>
                <w:bCs/>
                <w:color w:val="auto"/>
                <w:sz w:val="20"/>
              </w:rPr>
            </w:pPr>
            <w:r>
              <w:rPr>
                <w:rFonts w:hint="eastAsia" w:ascii="宋体" w:hAnsi="宋体" w:cs="宋体"/>
                <w:bCs/>
                <w:color w:val="auto"/>
                <w:sz w:val="20"/>
              </w:rPr>
              <w:t>（单位：万元）</w:t>
            </w:r>
          </w:p>
        </w:tc>
        <w:tc>
          <w:tcPr>
            <w:tcW w:w="1575" w:type="dxa"/>
            <w:noWrap w:val="0"/>
            <w:vAlign w:val="center"/>
          </w:tcPr>
          <w:p>
            <w:pPr>
              <w:jc w:val="center"/>
              <w:rPr>
                <w:rFonts w:ascii="宋体" w:hAnsi="宋体" w:cs="宋体"/>
                <w:bCs/>
                <w:color w:val="auto"/>
                <w:sz w:val="20"/>
              </w:rPr>
            </w:pPr>
            <w:r>
              <w:rPr>
                <w:rFonts w:hint="eastAsia" w:ascii="宋体" w:hAnsi="宋体" w:cs="宋体"/>
                <w:bCs/>
                <w:color w:val="auto"/>
                <w:sz w:val="20"/>
              </w:rPr>
              <w:t>项  目</w:t>
            </w:r>
          </w:p>
        </w:tc>
        <w:tc>
          <w:tcPr>
            <w:tcW w:w="1440" w:type="dxa"/>
            <w:noWrap w:val="0"/>
            <w:vAlign w:val="center"/>
          </w:tcPr>
          <w:p>
            <w:pPr>
              <w:jc w:val="center"/>
              <w:rPr>
                <w:rFonts w:hint="eastAsia" w:ascii="宋体" w:hAnsi="宋体" w:eastAsia="宋体" w:cs="宋体"/>
                <w:bCs/>
                <w:color w:val="auto"/>
                <w:sz w:val="20"/>
                <w:lang w:eastAsia="zh-CN"/>
              </w:rPr>
            </w:pPr>
            <w:r>
              <w:rPr>
                <w:rFonts w:hint="eastAsia" w:ascii="宋体" w:hAnsi="宋体" w:cs="宋体"/>
                <w:bCs/>
                <w:color w:val="auto"/>
                <w:sz w:val="20"/>
                <w:lang w:eastAsia="zh-CN"/>
              </w:rPr>
              <w:t>面积</w:t>
            </w:r>
          </w:p>
        </w:tc>
        <w:tc>
          <w:tcPr>
            <w:tcW w:w="1590" w:type="dxa"/>
            <w:noWrap w:val="0"/>
            <w:vAlign w:val="center"/>
          </w:tcPr>
          <w:p>
            <w:pPr>
              <w:jc w:val="center"/>
              <w:rPr>
                <w:rFonts w:hint="eastAsia" w:ascii="宋体" w:hAnsi="宋体" w:eastAsia="宋体" w:cs="宋体"/>
                <w:bCs/>
                <w:color w:val="auto"/>
                <w:sz w:val="20"/>
                <w:lang w:eastAsia="zh-CN"/>
              </w:rPr>
            </w:pPr>
            <w:r>
              <w:rPr>
                <w:rFonts w:hint="eastAsia" w:ascii="宋体" w:hAnsi="宋体" w:cs="宋体"/>
                <w:bCs/>
                <w:color w:val="auto"/>
                <w:sz w:val="20"/>
                <w:lang w:eastAsia="zh-CN"/>
              </w:rPr>
              <w:t>单价</w:t>
            </w:r>
          </w:p>
        </w:tc>
        <w:tc>
          <w:tcPr>
            <w:tcW w:w="1776" w:type="dxa"/>
            <w:noWrap w:val="0"/>
            <w:vAlign w:val="center"/>
          </w:tcPr>
          <w:p>
            <w:pPr>
              <w:jc w:val="center"/>
              <w:rPr>
                <w:rFonts w:hint="eastAsia" w:ascii="宋体" w:hAnsi="宋体" w:eastAsia="宋体" w:cs="宋体"/>
                <w:bCs/>
                <w:color w:val="auto"/>
                <w:sz w:val="20"/>
                <w:lang w:eastAsia="zh-CN"/>
              </w:rPr>
            </w:pPr>
            <w:r>
              <w:rPr>
                <w:rFonts w:hint="eastAsia" w:ascii="宋体" w:hAnsi="宋体" w:cs="宋体"/>
                <w:bCs/>
                <w:color w:val="auto"/>
                <w:sz w:val="20"/>
                <w:lang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04" w:type="dxa"/>
            <w:vMerge w:val="continue"/>
            <w:noWrap w:val="0"/>
            <w:vAlign w:val="center"/>
          </w:tcPr>
          <w:p>
            <w:pPr>
              <w:jc w:val="center"/>
              <w:rPr>
                <w:rFonts w:ascii="宋体" w:hAnsi="宋体" w:cs="宋体"/>
                <w:bCs/>
                <w:color w:val="auto"/>
                <w:sz w:val="20"/>
              </w:rPr>
            </w:pPr>
          </w:p>
        </w:tc>
        <w:tc>
          <w:tcPr>
            <w:tcW w:w="1635" w:type="dxa"/>
            <w:vMerge w:val="continue"/>
            <w:noWrap w:val="0"/>
            <w:vAlign w:val="center"/>
          </w:tcPr>
          <w:p>
            <w:pPr>
              <w:jc w:val="center"/>
              <w:rPr>
                <w:rFonts w:ascii="宋体" w:hAnsi="宋体" w:cs="宋体"/>
                <w:bCs/>
                <w:color w:val="auto"/>
                <w:sz w:val="20"/>
              </w:rPr>
            </w:pPr>
          </w:p>
        </w:tc>
        <w:tc>
          <w:tcPr>
            <w:tcW w:w="1575" w:type="dxa"/>
            <w:noWrap w:val="0"/>
            <w:vAlign w:val="center"/>
          </w:tcPr>
          <w:p>
            <w:pPr>
              <w:jc w:val="center"/>
              <w:rPr>
                <w:rFonts w:hint="default" w:ascii="宋体" w:hAnsi="宋体" w:eastAsia="宋体" w:cs="宋体"/>
                <w:bCs/>
                <w:color w:val="auto"/>
                <w:sz w:val="20"/>
                <w:lang w:val="en-US" w:eastAsia="zh-CN"/>
              </w:rPr>
            </w:pPr>
            <w:r>
              <w:rPr>
                <w:rFonts w:hint="eastAsia" w:ascii="宋体" w:hAnsi="宋体" w:cs="宋体"/>
                <w:bCs/>
                <w:color w:val="auto"/>
                <w:sz w:val="20"/>
                <w:lang w:val="en-US" w:eastAsia="zh-CN"/>
              </w:rPr>
              <w:t>11套底商</w:t>
            </w:r>
          </w:p>
        </w:tc>
        <w:tc>
          <w:tcPr>
            <w:tcW w:w="1440" w:type="dxa"/>
            <w:noWrap w:val="0"/>
            <w:vAlign w:val="center"/>
          </w:tcPr>
          <w:p>
            <w:pPr>
              <w:widowControl/>
              <w:jc w:val="center"/>
              <w:rPr>
                <w:rFonts w:hint="eastAsia" w:ascii="宋体" w:hAnsi="宋体" w:cs="宋体"/>
                <w:bCs/>
                <w:color w:val="auto"/>
                <w:sz w:val="20"/>
                <w:lang w:val="en-US" w:eastAsia="zh-CN"/>
              </w:rPr>
            </w:pPr>
            <w:r>
              <w:rPr>
                <w:rFonts w:hint="eastAsia" w:ascii="宋体" w:hAnsi="宋体" w:cs="宋体"/>
                <w:bCs/>
                <w:color w:val="auto"/>
                <w:sz w:val="20"/>
                <w:lang w:val="en-US" w:eastAsia="zh-CN"/>
              </w:rPr>
              <w:t>1875.45㎡</w:t>
            </w:r>
          </w:p>
          <w:p>
            <w:pPr>
              <w:widowControl/>
              <w:jc w:val="center"/>
              <w:rPr>
                <w:rFonts w:hint="default" w:ascii="宋体" w:hAnsi="宋体" w:cs="宋体"/>
                <w:bCs/>
                <w:color w:val="auto"/>
                <w:sz w:val="20"/>
                <w:lang w:val="en-US" w:eastAsia="zh-CN"/>
              </w:rPr>
            </w:pPr>
          </w:p>
        </w:tc>
        <w:tc>
          <w:tcPr>
            <w:tcW w:w="1590" w:type="dxa"/>
            <w:noWrap w:val="0"/>
            <w:vAlign w:val="center"/>
          </w:tcPr>
          <w:p>
            <w:pPr>
              <w:widowControl/>
              <w:jc w:val="center"/>
              <w:rPr>
                <w:rFonts w:hint="default" w:ascii="宋体" w:hAnsi="宋体" w:eastAsia="宋体" w:cs="宋体"/>
                <w:bCs/>
                <w:color w:val="auto"/>
                <w:sz w:val="20"/>
                <w:lang w:val="en-US" w:eastAsia="zh-CN"/>
              </w:rPr>
            </w:pPr>
            <w:r>
              <w:rPr>
                <w:rFonts w:hint="eastAsia" w:ascii="宋体" w:hAnsi="宋体" w:cs="宋体"/>
                <w:bCs/>
                <w:color w:val="auto"/>
                <w:sz w:val="20"/>
                <w:lang w:val="en-US" w:eastAsia="zh-CN"/>
              </w:rPr>
              <w:t>2.21万/㎡</w:t>
            </w:r>
          </w:p>
        </w:tc>
        <w:tc>
          <w:tcPr>
            <w:tcW w:w="1776" w:type="dxa"/>
            <w:noWrap w:val="0"/>
            <w:vAlign w:val="center"/>
          </w:tcPr>
          <w:p>
            <w:pPr>
              <w:widowControl/>
              <w:jc w:val="center"/>
              <w:rPr>
                <w:rFonts w:hint="default" w:ascii="宋体" w:hAnsi="宋体" w:eastAsia="宋体" w:cs="宋体"/>
                <w:bCs/>
                <w:color w:val="auto"/>
                <w:sz w:val="20"/>
                <w:lang w:val="en-US" w:eastAsia="zh-CN"/>
              </w:rPr>
            </w:pPr>
            <w:r>
              <w:rPr>
                <w:rFonts w:hint="eastAsia" w:ascii="宋体" w:hAnsi="宋体" w:cs="宋体"/>
                <w:bCs/>
                <w:color w:val="auto"/>
                <w:sz w:val="20"/>
                <w:lang w:val="en-US" w:eastAsia="zh-CN"/>
              </w:rPr>
              <w:t>4143.71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504" w:type="dxa"/>
            <w:noWrap w:val="0"/>
            <w:vAlign w:val="center"/>
          </w:tcPr>
          <w:p>
            <w:pPr>
              <w:jc w:val="center"/>
              <w:rPr>
                <w:rFonts w:ascii="宋体" w:hAnsi="宋体" w:cs="宋体"/>
                <w:bCs/>
                <w:color w:val="auto"/>
                <w:sz w:val="20"/>
                <w:highlight w:val="none"/>
              </w:rPr>
            </w:pPr>
            <w:r>
              <w:rPr>
                <w:rFonts w:hint="eastAsia" w:ascii="宋体" w:hAnsi="宋体" w:cs="宋体"/>
                <w:bCs/>
                <w:color w:val="auto"/>
                <w:sz w:val="20"/>
                <w:highlight w:val="none"/>
              </w:rPr>
              <w:t>7</w:t>
            </w:r>
          </w:p>
        </w:tc>
        <w:tc>
          <w:tcPr>
            <w:tcW w:w="1635" w:type="dxa"/>
            <w:noWrap w:val="0"/>
            <w:vAlign w:val="center"/>
          </w:tcPr>
          <w:p>
            <w:pPr>
              <w:jc w:val="center"/>
              <w:rPr>
                <w:rFonts w:ascii="宋体" w:hAnsi="宋体" w:cs="宋体"/>
                <w:bCs/>
                <w:color w:val="auto"/>
                <w:sz w:val="20"/>
                <w:highlight w:val="none"/>
              </w:rPr>
            </w:pPr>
            <w:r>
              <w:rPr>
                <w:rFonts w:hint="eastAsia" w:ascii="宋体" w:hAnsi="宋体" w:cs="宋体"/>
                <w:bCs/>
                <w:color w:val="auto"/>
                <w:sz w:val="20"/>
                <w:highlight w:val="none"/>
              </w:rPr>
              <w:t>评估资料查阅</w:t>
            </w:r>
          </w:p>
          <w:p>
            <w:pPr>
              <w:jc w:val="center"/>
              <w:rPr>
                <w:rFonts w:ascii="宋体" w:hAnsi="宋体" w:cs="宋体"/>
                <w:bCs/>
                <w:color w:val="auto"/>
                <w:sz w:val="20"/>
                <w:highlight w:val="none"/>
              </w:rPr>
            </w:pPr>
            <w:r>
              <w:rPr>
                <w:rFonts w:hint="eastAsia" w:ascii="宋体" w:hAnsi="宋体" w:cs="宋体"/>
                <w:bCs/>
                <w:color w:val="auto"/>
                <w:sz w:val="20"/>
                <w:highlight w:val="none"/>
              </w:rPr>
              <w:t>方式</w:t>
            </w:r>
          </w:p>
        </w:tc>
        <w:tc>
          <w:tcPr>
            <w:tcW w:w="6381" w:type="dxa"/>
            <w:gridSpan w:val="4"/>
            <w:noWrap w:val="0"/>
            <w:vAlign w:val="center"/>
          </w:tcPr>
          <w:p>
            <w:pPr>
              <w:jc w:val="left"/>
              <w:rPr>
                <w:rFonts w:ascii="宋体" w:hAnsi="宋体" w:cs="宋体"/>
                <w:bCs/>
                <w:color w:val="auto"/>
                <w:sz w:val="20"/>
                <w:highlight w:val="none"/>
              </w:rPr>
            </w:pPr>
            <w:r>
              <w:rPr>
                <w:rFonts w:hint="eastAsia" w:ascii="宋体" w:hAnsi="宋体" w:cs="宋体"/>
                <w:bCs/>
                <w:color w:val="auto"/>
                <w:sz w:val="20"/>
                <w:highlight w:val="none"/>
              </w:rPr>
              <w:t>评估批复、比选评估机构方案、评估报告初稿及审核意见等纸质及电子资料在资产财务部资产管理处。</w:t>
            </w:r>
          </w:p>
        </w:tc>
      </w:tr>
    </w:tbl>
    <w:p>
      <w:pPr>
        <w:rPr>
          <w:rFonts w:hint="eastAsia"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mQ1Y2MxNjUyMTQ2Nzk4NDAwNGJhZjVjNTEyODEifQ=="/>
  </w:docVars>
  <w:rsids>
    <w:rsidRoot w:val="00000000"/>
    <w:rsid w:val="0A993610"/>
    <w:rsid w:val="12312651"/>
    <w:rsid w:val="29813715"/>
    <w:rsid w:val="3BFA09B4"/>
    <w:rsid w:val="458459E3"/>
    <w:rsid w:val="5048268C"/>
    <w:rsid w:val="52EA30A1"/>
    <w:rsid w:val="554F36EE"/>
    <w:rsid w:val="562A0384"/>
    <w:rsid w:val="5C423F4D"/>
    <w:rsid w:val="625B1F93"/>
    <w:rsid w:val="6F2B6DFE"/>
    <w:rsid w:val="7E734A03"/>
    <w:rsid w:val="7EEC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qFormat/>
    <w:uiPriority w:val="0"/>
  </w:style>
  <w:style w:type="table" w:default="1" w:styleId="2">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1394</Words>
  <Characters>1539</Characters>
  <Paragraphs>64</Paragraphs>
  <TotalTime>3</TotalTime>
  <ScaleCrop>false</ScaleCrop>
  <LinksUpToDate>false</LinksUpToDate>
  <CharactersWithSpaces>1624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2021-12-22T05:52:00Z</dcterms:created>
  <dc:creator>赵龙</dc:creator>
  <cp:lastModifiedBy>小伴龙</cp:lastModifiedBy>
  <cp:lastPrinted>2022-09-14T03:19:00Z</cp:lastPrinted>
  <dcterms:modified xsi:type="dcterms:W3CDTF">2022-09-14T07:36:04Z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9CAC9E612669490A9A09E9104C5FF8F3</vt:lpwstr>
  </property>
</Properties>
</file>